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2024 28 vom 4. Juni 2024</w:t>
      </w:r>
    </w:p>
    <w:p>
      <w:r>
        <w:t>GR Gerichte, 2024-06-04, DE</w:t>
      </w:r>
    </w:p>
    <w:p>
      <w:r>
        <w:rPr>
          <w:b/>
        </w:rPr>
        <w:t xml:space="preserve">Quelle: </w:t>
      </w:r>
      <w:r>
        <w:t>https://mcp.opencaselaw.ch/entscheid/gr_gerichte_SK2 2024 28</w:t>
      </w:r>
    </w:p>
    <w:p>
      <w:r>
        <w:t>FR: GR_GERICHTE SK2 2024 28 du 4 juin 2024</w:t>
      </w:r>
    </w:p>
    <w:p>
      <w:r>
        <w:t>IT: GR_GERICHTE SK2 2024 28 del 4 giugno 2024</w:t>
      </w:r>
    </w:p>
    <w:p>
      <w:pPr>
        <w:pStyle w:val="Heading2"/>
      </w:pPr>
      <w:r>
        <w:t>Regeste</w:t>
      </w:r>
    </w:p>
    <w:p>
      <w:r>
        <w:t>Sachbeschädigung | Beschwerde gegen StA, Übrige Fälle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 5 2.1. Gemäss Art. 356 Abs. 3 StPO kann eine gegen einen Strafbefehl erhobene Einsprache bis zum Abschluss der Parteivorträge vor dem erstinstanzlichen Ge- richt zurückgezogen werden (einschränkend: BGer 6B_222/2022 v. 18.1.2023 E. 1.2 und Christian Schwarzenegger, in: Donatsch/Lieber/Summers/Wohlers [Hrsg.], Kommentar zur Schweizerischen Strafprozessordnung, 3. Aufl., Zürich 2020, N 2a i.f. zu Art. 356 StPO; kritisch zur einschränkenden Rechtsprechung: Michael Da- phinoff, in: Niggli/Heer/Wiprächtiger [Hrsg.], Basler Kommentar zur Schweizeri- schen Strafprozessordnung, 3. Aufl., Basel 2023, N 26 f. zu Art. 356 StPO). Der Rückzug der Einsprache gegen einen Strafbefehl ist endgültig, es sei denn, es liege ein Willensmangel vor. Erforderlich ist ein qualifizierter Willensmangel im Sinne von Art. 386 Abs. 3 StPO, welcher voraussetzt, dass die Partei durch Täu- schung, eine Straftat oder eine unrichtige behördliche Auskunft zu ihrer Erklärung veranlasst wurde. Ein blosser Irrtum, etwa i.S.v. Art. 23 f. OR, genügt nicht. Wil- lensmängel sind von demjenigen, der sich darauf beruft, nachzuweisen (vgl. Art. 386 Abs. 3 StPO, welchen das Bundesgericht auch beim Rückzug der Einsprache gegen einen Strafbefehl anwendet: BGer 6B_707/2017 v. 26.6.2017 E. 3 und BGer 6B_1184/2014 v. 12.1.2015 E. 3; BGE 141 IV 269 E. 2.2.1; Stefan Keller, in: Niggli/Heer/Wiprächtiger [Hrsg.], Basler Kommentar zur Schweizerischen Straf- prozessordnung, 3. Aufl., Basel 2023, N 4 zu Art. 386 StPO). 2.2. Kommt es zu einem Rückzug der Einsprache bevor die Sache an das Ge- richt überwiesen wurde, hat die Staatsanwaltschaft eine Abschreibungsverfügung zu erlassen, in welcher der Rückzug und der Eintritt der Rechtskraft des Strafbe- fehls festgestellt und das Verfahren formell abgeschlossen wird. Ausserdem wer- den allfällige Kostenfolgen geregelt. Da dem Strafbefehl mit dem Rückzug der Einsprache ipso iure Urteilsqualität zukommt, hat die Abschreibungsverfügung lediglich deklaratorischen Charakter. Gegen solche Verfügungen ist daher die Be- schwerde nur beschränkt zulässig, so namentlich gegen den Kostenentscheid (vgl. Daphinoff, Strafbefehlsverfahren, a.a.O., S. 624). 2.3. In welcher Form Willensmängel im Sinne von Art. 386 Abs. 3 StPO geltend zu machen sind, regelt das Gesetz nicht. In der Lehre wurde teilweise die Auffas- sung vertreten, dies könne sinnvollerweise nur im Rahmen einer offenen Rechts- mittelfrist gegen die Verfahrensabschreibung geschehen. Später komme nur noch die Revision in Frage (So noch die zweite Auflage des Basler Kommentars zur StPO: Martin Ziegler/Stefan Keller, in: Niggli/Heer/Wiprächtiger [Hrsg.], Basler Kommentar zur Schweizerischen Strafprozessordnung, 2. Aufl., Basel 2014, N 4 zu Art. 386 StPO). Das Bundesgericht hat mittlerweile entschieden, dass ein ge- stützt auf Art. 386 Abs. 3 StPO erfolgter Widerruf unabhängig von der Beschwer-</w:t>
      </w:r>
    </w:p>
    <w:p>
      <w:r>
        <w:rPr>
          <w:b/>
        </w:rPr>
        <w:t>E. 4</w:t>
      </w:r>
    </w:p>
    <w:p>
      <w:r>
        <w:t>Gestützt auf Art. 18 Abs. 3 GOG ergeht die vorliegende Verfügung in ein- zelrichterlicher Kompetenz.</w:t>
      </w:r>
    </w:p>
    <w:p>
      <w:r>
        <w:rPr>
          <w:b/>
        </w:rPr>
        <w:t>E. 5</w:t>
      </w:r>
    </w:p>
    <w:p>
      <w:r>
        <w:t>/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